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24" w:rsidRPr="001F480A" w:rsidRDefault="00431D24" w:rsidP="00431D24">
      <w:pPr>
        <w:widowControl w:val="0"/>
        <w:spacing w:after="0" w:line="240" w:lineRule="auto"/>
        <w:jc w:val="center"/>
        <w:rPr>
          <w:rFonts w:eastAsia="Times New Roman" w:cs="Arial"/>
          <w:lang w:val="en-US"/>
        </w:rPr>
      </w:pPr>
      <w:bookmarkStart w:id="0" w:name="_GoBack"/>
      <w:r w:rsidRPr="001F480A">
        <w:rPr>
          <w:rFonts w:eastAsia="Times New Roman" w:cs="Arial"/>
          <w:lang w:val="en-US"/>
        </w:rPr>
        <w:t>Tr</w:t>
      </w:r>
      <w:r w:rsidR="00121AA5" w:rsidRPr="001F480A">
        <w:rPr>
          <w:rFonts w:eastAsia="Times New Roman" w:cs="Arial"/>
          <w:lang w:val="en-US"/>
        </w:rPr>
        <w:t>inity Exploration &amp; Production P</w:t>
      </w:r>
      <w:r w:rsidRPr="001F480A">
        <w:rPr>
          <w:rFonts w:eastAsia="Times New Roman" w:cs="Arial"/>
          <w:lang w:val="en-US"/>
        </w:rPr>
        <w:t xml:space="preserve">lc </w:t>
      </w:r>
    </w:p>
    <w:p w:rsidR="00431D24" w:rsidRPr="001F480A" w:rsidRDefault="00431D24" w:rsidP="00431D24">
      <w:pPr>
        <w:widowControl w:val="0"/>
        <w:spacing w:after="0" w:line="240" w:lineRule="auto"/>
        <w:jc w:val="center"/>
        <w:rPr>
          <w:rFonts w:eastAsia="Times New Roman" w:cs="Arial"/>
          <w:lang w:val="en-US"/>
        </w:rPr>
      </w:pPr>
      <w:r w:rsidRPr="001F480A">
        <w:rPr>
          <w:rFonts w:eastAsia="Times New Roman" w:cs="Arial"/>
          <w:lang w:val="en-US"/>
        </w:rPr>
        <w:t>(</w:t>
      </w:r>
      <w:proofErr w:type="gramStart"/>
      <w:r w:rsidRPr="001F480A">
        <w:rPr>
          <w:rFonts w:eastAsia="Times New Roman" w:cs="Arial"/>
          <w:lang w:val="en-US"/>
        </w:rPr>
        <w:t>the</w:t>
      </w:r>
      <w:proofErr w:type="gramEnd"/>
      <w:r w:rsidRPr="001F480A">
        <w:rPr>
          <w:rFonts w:eastAsia="Times New Roman" w:cs="Arial"/>
          <w:lang w:val="en-US"/>
        </w:rPr>
        <w:t xml:space="preserve"> "Company" or “Trinity”; AIM:TRIN)</w:t>
      </w:r>
    </w:p>
    <w:p w:rsidR="00431D24" w:rsidRPr="001F480A" w:rsidRDefault="00431D24" w:rsidP="00431D24">
      <w:pPr>
        <w:widowControl w:val="0"/>
        <w:spacing w:after="0" w:line="240" w:lineRule="auto"/>
        <w:jc w:val="center"/>
        <w:rPr>
          <w:rFonts w:eastAsia="Times New Roman" w:cs="Arial"/>
          <w:lang w:val="en-US"/>
        </w:rPr>
      </w:pPr>
    </w:p>
    <w:p w:rsidR="00431D24" w:rsidRPr="001F480A" w:rsidRDefault="00121B48" w:rsidP="00431D24">
      <w:pPr>
        <w:widowControl w:val="0"/>
        <w:spacing w:after="0" w:line="240" w:lineRule="auto"/>
        <w:jc w:val="center"/>
        <w:rPr>
          <w:rFonts w:eastAsia="Times New Roman" w:cs="Arial"/>
          <w:b/>
          <w:lang w:val="en-US"/>
        </w:rPr>
      </w:pPr>
      <w:r w:rsidRPr="001F480A">
        <w:rPr>
          <w:rFonts w:eastAsia="Times New Roman" w:cs="Arial"/>
          <w:b/>
          <w:lang w:val="en-US"/>
        </w:rPr>
        <w:t>Loan Update</w:t>
      </w:r>
    </w:p>
    <w:p w:rsidR="00431D24" w:rsidRPr="001F480A" w:rsidRDefault="00431D24" w:rsidP="00431D24">
      <w:pPr>
        <w:widowControl w:val="0"/>
        <w:spacing w:after="0" w:line="240" w:lineRule="auto"/>
        <w:rPr>
          <w:rFonts w:eastAsia="Times New Roman" w:cs="Arial"/>
          <w:lang w:val="en-US"/>
        </w:rPr>
      </w:pPr>
    </w:p>
    <w:p w:rsidR="00431D24" w:rsidRPr="001F480A" w:rsidRDefault="00431D24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</w:p>
    <w:p w:rsidR="00431D24" w:rsidRPr="001F480A" w:rsidRDefault="00106C12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  <w:r w:rsidRPr="001F480A">
        <w:rPr>
          <w:rFonts w:eastAsia="Times New Roman" w:cs="Arial"/>
          <w:lang w:val="en-US"/>
        </w:rPr>
        <w:t>16</w:t>
      </w:r>
      <w:r w:rsidRPr="001F480A">
        <w:rPr>
          <w:rFonts w:eastAsia="Times New Roman" w:cs="Arial"/>
          <w:vertAlign w:val="superscript"/>
          <w:lang w:val="en-US"/>
        </w:rPr>
        <w:t>th</w:t>
      </w:r>
      <w:r w:rsidRPr="001F480A">
        <w:rPr>
          <w:rFonts w:eastAsia="Times New Roman" w:cs="Arial"/>
          <w:lang w:val="en-US"/>
        </w:rPr>
        <w:t xml:space="preserve"> </w:t>
      </w:r>
      <w:r w:rsidR="00DC1E0D" w:rsidRPr="001F480A">
        <w:rPr>
          <w:rFonts w:eastAsia="Times New Roman" w:cs="Arial"/>
          <w:lang w:val="en-US"/>
        </w:rPr>
        <w:t xml:space="preserve">July </w:t>
      </w:r>
      <w:r w:rsidR="00431D24" w:rsidRPr="001F480A">
        <w:rPr>
          <w:rFonts w:eastAsia="Times New Roman" w:cs="Arial"/>
          <w:lang w:val="en-US"/>
        </w:rPr>
        <w:t>2015</w:t>
      </w:r>
    </w:p>
    <w:p w:rsidR="00431D24" w:rsidRPr="001F480A" w:rsidRDefault="00431D24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</w:p>
    <w:p w:rsidR="00EF6772" w:rsidRPr="001F480A" w:rsidRDefault="00431D24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  <w:r w:rsidRPr="001F480A">
        <w:rPr>
          <w:rFonts w:eastAsia="Times New Roman" w:cs="Arial"/>
          <w:lang w:val="en-US"/>
        </w:rPr>
        <w:t xml:space="preserve">Trinity, </w:t>
      </w:r>
      <w:r w:rsidR="004B7DEE" w:rsidRPr="001F480A">
        <w:rPr>
          <w:rFonts w:eastAsia="Times New Roman" w:cs="Arial"/>
          <w:lang w:val="en-US"/>
        </w:rPr>
        <w:t xml:space="preserve">an </w:t>
      </w:r>
      <w:r w:rsidRPr="001F480A">
        <w:rPr>
          <w:rFonts w:eastAsia="Times New Roman" w:cs="Arial"/>
          <w:lang w:val="en-US"/>
        </w:rPr>
        <w:t>independent E&amp;P company focused on Trinidad and Tobago, today announces</w:t>
      </w:r>
      <w:r w:rsidR="00417149" w:rsidRPr="001F480A">
        <w:rPr>
          <w:rFonts w:eastAsia="Times New Roman" w:cs="Arial"/>
          <w:lang w:val="en-US"/>
        </w:rPr>
        <w:t xml:space="preserve"> </w:t>
      </w:r>
      <w:r w:rsidR="00227873" w:rsidRPr="001F480A">
        <w:rPr>
          <w:rFonts w:eastAsia="Times New Roman" w:cs="Arial"/>
          <w:lang w:val="en-US"/>
        </w:rPr>
        <w:t xml:space="preserve">that the </w:t>
      </w:r>
      <w:r w:rsidR="004B7DEE" w:rsidRPr="001F480A">
        <w:rPr>
          <w:rFonts w:eastAsia="Times New Roman" w:cs="Arial"/>
          <w:lang w:val="en-US"/>
        </w:rPr>
        <w:t>C</w:t>
      </w:r>
      <w:r w:rsidR="00EF6772" w:rsidRPr="001F480A">
        <w:rPr>
          <w:rFonts w:eastAsia="Times New Roman" w:cs="Arial"/>
          <w:lang w:val="en-US"/>
        </w:rPr>
        <w:t>ompany has agreed a</w:t>
      </w:r>
      <w:r w:rsidR="00DC1E0D" w:rsidRPr="001F480A">
        <w:rPr>
          <w:rFonts w:eastAsia="Times New Roman" w:cs="Arial"/>
          <w:lang w:val="en-US"/>
        </w:rPr>
        <w:t xml:space="preserve"> further</w:t>
      </w:r>
      <w:r w:rsidR="00EF6772" w:rsidRPr="001F480A">
        <w:rPr>
          <w:rFonts w:eastAsia="Times New Roman" w:cs="Arial"/>
          <w:lang w:val="en-US"/>
        </w:rPr>
        <w:t xml:space="preserve"> extension to the moratorium on principal repayments, relating to Trinity’s outstanding debt balance </w:t>
      </w:r>
      <w:r w:rsidR="00822004" w:rsidRPr="001F480A">
        <w:rPr>
          <w:rFonts w:eastAsia="Times New Roman" w:cs="Arial"/>
          <w:lang w:val="en-US"/>
        </w:rPr>
        <w:t>of US$13.0 million with its lender</w:t>
      </w:r>
      <w:r w:rsidR="00EF6772" w:rsidRPr="001F480A">
        <w:rPr>
          <w:rFonts w:eastAsia="Times New Roman" w:cs="Arial"/>
          <w:lang w:val="en-US"/>
        </w:rPr>
        <w:t>,</w:t>
      </w:r>
      <w:r w:rsidR="00DC1E0D" w:rsidRPr="001F480A">
        <w:rPr>
          <w:rFonts w:eastAsia="Times New Roman" w:cs="Arial"/>
          <w:lang w:val="en-US"/>
        </w:rPr>
        <w:t xml:space="preserve"> until </w:t>
      </w:r>
      <w:r w:rsidR="005F693F" w:rsidRPr="001F480A">
        <w:rPr>
          <w:rFonts w:eastAsia="Times New Roman" w:cs="Arial"/>
          <w:lang w:val="en-US"/>
        </w:rPr>
        <w:t xml:space="preserve">the </w:t>
      </w:r>
      <w:r w:rsidR="00106C12" w:rsidRPr="001F480A">
        <w:rPr>
          <w:rFonts w:eastAsia="Times New Roman" w:cs="Arial"/>
          <w:lang w:val="en-US"/>
        </w:rPr>
        <w:t>31</w:t>
      </w:r>
      <w:r w:rsidR="00106C12" w:rsidRPr="001F480A">
        <w:rPr>
          <w:rFonts w:eastAsia="Times New Roman" w:cs="Arial"/>
          <w:vertAlign w:val="superscript"/>
          <w:lang w:val="en-US"/>
        </w:rPr>
        <w:t>st</w:t>
      </w:r>
      <w:r w:rsidR="00106C12" w:rsidRPr="001F480A">
        <w:rPr>
          <w:rFonts w:eastAsia="Times New Roman" w:cs="Arial"/>
          <w:lang w:val="en-US"/>
        </w:rPr>
        <w:t xml:space="preserve"> </w:t>
      </w:r>
      <w:r w:rsidR="005F693F" w:rsidRPr="001F480A">
        <w:rPr>
          <w:rFonts w:eastAsia="Times New Roman" w:cs="Arial"/>
          <w:lang w:val="en-US"/>
        </w:rPr>
        <w:t>of July 2015.</w:t>
      </w:r>
      <w:r w:rsidR="00227873" w:rsidRPr="001F480A">
        <w:rPr>
          <w:rFonts w:eastAsia="Times New Roman" w:cs="Arial"/>
          <w:lang w:val="en-US"/>
        </w:rPr>
        <w:t xml:space="preserve"> </w:t>
      </w:r>
      <w:r w:rsidR="007207B3" w:rsidRPr="001F480A">
        <w:rPr>
          <w:rFonts w:eastAsia="Times New Roman" w:cs="Arial"/>
          <w:lang w:val="en-US"/>
        </w:rPr>
        <w:t>The extension of its credit facilities by its senior lender represents their continued support of Trinity and the Formal Sales Process (“FSP”).</w:t>
      </w:r>
    </w:p>
    <w:p w:rsidR="00EF6772" w:rsidRPr="001F480A" w:rsidRDefault="00EF6772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</w:p>
    <w:p w:rsidR="00431D24" w:rsidRPr="001F480A" w:rsidRDefault="00227873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  <w:r w:rsidRPr="001F480A">
        <w:rPr>
          <w:rFonts w:eastAsia="Times New Roman" w:cs="Arial"/>
          <w:lang w:val="en-US"/>
        </w:rPr>
        <w:t xml:space="preserve">Progress continues with the </w:t>
      </w:r>
      <w:r w:rsidR="001A5340" w:rsidRPr="001F480A">
        <w:rPr>
          <w:rFonts w:eastAsia="Times New Roman" w:cs="Arial"/>
          <w:lang w:val="en-US"/>
        </w:rPr>
        <w:t xml:space="preserve">strategic review and </w:t>
      </w:r>
      <w:r w:rsidR="007207B3" w:rsidRPr="001F480A">
        <w:rPr>
          <w:rFonts w:eastAsia="Times New Roman" w:cs="Arial"/>
          <w:lang w:val="en-US"/>
        </w:rPr>
        <w:t xml:space="preserve">FSP </w:t>
      </w:r>
      <w:r w:rsidRPr="001F480A">
        <w:rPr>
          <w:rFonts w:eastAsia="Times New Roman" w:cs="Arial"/>
          <w:lang w:val="en-US"/>
        </w:rPr>
        <w:t>and as part of this Trin</w:t>
      </w:r>
      <w:r w:rsidR="001A5340" w:rsidRPr="001F480A">
        <w:rPr>
          <w:rFonts w:eastAsia="Times New Roman" w:cs="Arial"/>
          <w:lang w:val="en-US"/>
        </w:rPr>
        <w:t>i</w:t>
      </w:r>
      <w:r w:rsidRPr="001F480A">
        <w:rPr>
          <w:rFonts w:eastAsia="Times New Roman" w:cs="Arial"/>
          <w:lang w:val="en-US"/>
        </w:rPr>
        <w:t xml:space="preserve">ty retains a regular dialogue with </w:t>
      </w:r>
      <w:r w:rsidR="00EF6772" w:rsidRPr="001F480A">
        <w:rPr>
          <w:rFonts w:eastAsia="Times New Roman" w:cs="Arial"/>
          <w:lang w:val="en-US"/>
        </w:rPr>
        <w:t xml:space="preserve">its lender and </w:t>
      </w:r>
      <w:r w:rsidR="001A5340" w:rsidRPr="001F480A">
        <w:rPr>
          <w:rFonts w:eastAsia="Times New Roman" w:cs="Arial"/>
          <w:lang w:val="en-US"/>
        </w:rPr>
        <w:t>creditors.</w:t>
      </w:r>
    </w:p>
    <w:p w:rsidR="00AC0C2E" w:rsidRPr="001F480A" w:rsidRDefault="00AC0C2E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</w:p>
    <w:p w:rsidR="00AC0C2E" w:rsidRPr="001F480A" w:rsidRDefault="00AC0C2E" w:rsidP="00431D24">
      <w:pPr>
        <w:widowControl w:val="0"/>
        <w:spacing w:after="0" w:line="240" w:lineRule="auto"/>
        <w:jc w:val="both"/>
        <w:rPr>
          <w:rFonts w:eastAsia="Times New Roman" w:cs="Arial"/>
          <w:lang w:val="en-US"/>
        </w:rPr>
      </w:pPr>
    </w:p>
    <w:p w:rsidR="00431D24" w:rsidRPr="001F480A" w:rsidRDefault="00431D24" w:rsidP="00431D24">
      <w:pPr>
        <w:widowControl w:val="0"/>
        <w:spacing w:after="0" w:line="240" w:lineRule="auto"/>
        <w:jc w:val="both"/>
        <w:rPr>
          <w:rFonts w:eastAsia="Times New Roman" w:cs="Arial"/>
        </w:rPr>
      </w:pPr>
    </w:p>
    <w:p w:rsidR="00431D24" w:rsidRPr="001F480A" w:rsidRDefault="00431D24" w:rsidP="00431D24">
      <w:pPr>
        <w:widowControl w:val="0"/>
        <w:spacing w:after="0" w:line="240" w:lineRule="auto"/>
        <w:rPr>
          <w:rFonts w:eastAsia="Times New Roman" w:cs="Arial"/>
          <w:b/>
          <w:color w:val="000000"/>
          <w:lang w:eastAsia="en-TT"/>
        </w:rPr>
      </w:pPr>
      <w:r w:rsidRPr="001F480A">
        <w:rPr>
          <w:rFonts w:eastAsia="Times New Roman" w:cs="Arial"/>
          <w:b/>
          <w:color w:val="000000"/>
          <w:lang w:eastAsia="en-TT"/>
        </w:rPr>
        <w:t>Enquiries:</w:t>
      </w:r>
    </w:p>
    <w:p w:rsidR="008F03AC" w:rsidRPr="001F480A" w:rsidRDefault="008F03AC" w:rsidP="00431D24">
      <w:pPr>
        <w:widowControl w:val="0"/>
        <w:spacing w:after="0" w:line="240" w:lineRule="auto"/>
        <w:rPr>
          <w:rFonts w:eastAsia="Times New Roman" w:cs="Arial"/>
          <w:b/>
          <w:color w:val="000000"/>
          <w:lang w:eastAsia="en-T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3078"/>
      </w:tblGrid>
      <w:tr w:rsidR="00431D24" w:rsidRPr="001F480A" w:rsidTr="00431D24">
        <w:trPr>
          <w:tblCellSpacing w:w="0" w:type="dxa"/>
        </w:trPr>
        <w:tc>
          <w:tcPr>
            <w:tcW w:w="6282" w:type="dxa"/>
            <w:hideMark/>
          </w:tcPr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b/>
                <w:color w:val="000000"/>
                <w:lang w:eastAsia="en-TT"/>
              </w:rPr>
              <w:t>Trinity Exploration &amp; Production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Joel "Monty" Pemberton, Chief Executive Officer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Tracy Mackenzie, Head of Investor Relations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 </w:t>
            </w:r>
          </w:p>
        </w:tc>
        <w:tc>
          <w:tcPr>
            <w:tcW w:w="3078" w:type="dxa"/>
            <w:hideMark/>
          </w:tcPr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Tel: +44 (0)13 1240 3860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 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 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</w:p>
        </w:tc>
      </w:tr>
      <w:tr w:rsidR="00431D24" w:rsidRPr="001F480A" w:rsidTr="00431D24">
        <w:trPr>
          <w:tblCellSpacing w:w="0" w:type="dxa"/>
        </w:trPr>
        <w:tc>
          <w:tcPr>
            <w:tcW w:w="628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1982"/>
            </w:tblGrid>
            <w:tr w:rsidR="00431D24" w:rsidRPr="001F480A" w:rsidTr="002058DD">
              <w:trPr>
                <w:tblCellSpacing w:w="0" w:type="dxa"/>
              </w:trPr>
              <w:tc>
                <w:tcPr>
                  <w:tcW w:w="5655" w:type="dxa"/>
                  <w:hideMark/>
                </w:tcPr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b/>
                      <w:color w:val="000000"/>
                      <w:lang w:eastAsia="en-TT"/>
                    </w:rPr>
                    <w:t xml:space="preserve">RBC Capital Markets                                                               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b/>
                      <w:i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b/>
                      <w:i/>
                      <w:color w:val="000000"/>
                      <w:lang w:eastAsia="en-TT"/>
                    </w:rPr>
                    <w:t>Nomad &amp; Joint Broker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color w:val="000000"/>
                      <w:lang w:eastAsia="en-TT"/>
                    </w:rPr>
                    <w:t>Matthew Coakes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color w:val="000000"/>
                      <w:lang w:eastAsia="en-TT"/>
                    </w:rPr>
                    <w:t>Daniel Conti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color w:val="000000"/>
                      <w:lang w:eastAsia="en-TT"/>
                    </w:rPr>
                    <w:t> </w:t>
                  </w:r>
                </w:p>
              </w:tc>
              <w:tc>
                <w:tcPr>
                  <w:tcW w:w="2775" w:type="dxa"/>
                  <w:hideMark/>
                </w:tcPr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</w:p>
              </w:tc>
            </w:tr>
            <w:tr w:rsidR="00431D24" w:rsidRPr="001F480A" w:rsidTr="002058DD">
              <w:trPr>
                <w:tblCellSpacing w:w="0" w:type="dxa"/>
              </w:trPr>
              <w:tc>
                <w:tcPr>
                  <w:tcW w:w="5655" w:type="dxa"/>
                  <w:hideMark/>
                </w:tcPr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b/>
                      <w:i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b/>
                      <w:i/>
                      <w:color w:val="000000"/>
                      <w:lang w:eastAsia="en-TT"/>
                    </w:rPr>
                    <w:t>Oil &amp; Gas Advisory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color w:val="000000"/>
                      <w:lang w:eastAsia="en-TT"/>
                    </w:rPr>
                    <w:t>Jakub Brogowski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  <w:r w:rsidRPr="001F480A">
                    <w:rPr>
                      <w:rFonts w:eastAsia="Times New Roman" w:cs="Arial"/>
                      <w:color w:val="000000"/>
                      <w:lang w:eastAsia="en-TT"/>
                    </w:rPr>
                    <w:t>Roland Symond</w:t>
                  </w:r>
                  <w:r w:rsidR="00B0614C" w:rsidRPr="001F480A">
                    <w:rPr>
                      <w:rFonts w:eastAsia="Times New Roman" w:cs="Arial"/>
                      <w:color w:val="000000"/>
                      <w:lang w:eastAsia="en-TT"/>
                    </w:rPr>
                    <w:t>s</w:t>
                  </w:r>
                </w:p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</w:p>
              </w:tc>
              <w:tc>
                <w:tcPr>
                  <w:tcW w:w="2775" w:type="dxa"/>
                  <w:hideMark/>
                </w:tcPr>
                <w:p w:rsidR="00431D24" w:rsidRPr="001F480A" w:rsidRDefault="00431D24" w:rsidP="00431D24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000000"/>
                      <w:lang w:eastAsia="en-TT"/>
                    </w:rPr>
                  </w:pPr>
                </w:p>
              </w:tc>
            </w:tr>
          </w:tbl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lang w:eastAsia="en-TT"/>
              </w:rPr>
            </w:pPr>
          </w:p>
        </w:tc>
        <w:tc>
          <w:tcPr>
            <w:tcW w:w="3078" w:type="dxa"/>
          </w:tcPr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Tel: +44 (0) 20 7653 4000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Tel: +44 (0) 20 7029 8000</w:t>
            </w:r>
          </w:p>
        </w:tc>
      </w:tr>
      <w:tr w:rsidR="00431D24" w:rsidRPr="001F480A" w:rsidTr="00431D24">
        <w:trPr>
          <w:tblCellSpacing w:w="0" w:type="dxa"/>
        </w:trPr>
        <w:tc>
          <w:tcPr>
            <w:tcW w:w="6282" w:type="dxa"/>
            <w:hideMark/>
          </w:tcPr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b/>
                <w:bCs/>
                <w:color w:val="000000"/>
                <w:lang w:eastAsia="en-TT"/>
              </w:rPr>
              <w:t>Brunswick Group LLP (PR Adviser)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Patrick Handley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William Medvei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</w:p>
        </w:tc>
        <w:tc>
          <w:tcPr>
            <w:tcW w:w="3078" w:type="dxa"/>
            <w:hideMark/>
          </w:tcPr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Tel: +44 (0) 20 7404 5959</w:t>
            </w:r>
          </w:p>
          <w:p w:rsidR="00431D24" w:rsidRPr="001F480A" w:rsidRDefault="00431D24" w:rsidP="00431D2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en-TT"/>
              </w:rPr>
            </w:pPr>
            <w:r w:rsidRPr="001F480A">
              <w:rPr>
                <w:rFonts w:eastAsia="Times New Roman" w:cs="Arial"/>
                <w:color w:val="000000"/>
                <w:lang w:eastAsia="en-TT"/>
              </w:rPr>
              <w:t> </w:t>
            </w:r>
          </w:p>
        </w:tc>
      </w:tr>
    </w:tbl>
    <w:p w:rsidR="00431D24" w:rsidRPr="001F480A" w:rsidRDefault="00431D24" w:rsidP="00431D24">
      <w:pPr>
        <w:spacing w:line="240" w:lineRule="auto"/>
        <w:rPr>
          <w:rFonts w:eastAsia="Times New Roman" w:cs="Arial"/>
          <w:color w:val="000000"/>
          <w:lang w:eastAsia="en-TT"/>
        </w:rPr>
      </w:pPr>
    </w:p>
    <w:p w:rsidR="00431D24" w:rsidRPr="001F480A" w:rsidRDefault="00431D24" w:rsidP="00EA74B9">
      <w:pPr>
        <w:spacing w:line="240" w:lineRule="auto"/>
        <w:jc w:val="both"/>
        <w:rPr>
          <w:rFonts w:eastAsia="Times New Roman" w:cs="Arial"/>
          <w:color w:val="000000"/>
          <w:lang w:eastAsia="en-TT"/>
        </w:rPr>
      </w:pPr>
      <w:r w:rsidRPr="001F480A">
        <w:rPr>
          <w:rFonts w:eastAsia="Times New Roman" w:cs="Arial"/>
          <w:color w:val="000000"/>
          <w:lang w:eastAsia="en-TT"/>
        </w:rPr>
        <w:t>About Trinity</w:t>
      </w:r>
    </w:p>
    <w:p w:rsidR="00C23381" w:rsidRPr="001F480A" w:rsidRDefault="00431D24" w:rsidP="00EA74B9">
      <w:pPr>
        <w:jc w:val="both"/>
      </w:pPr>
      <w:r w:rsidRPr="001F480A">
        <w:rPr>
          <w:rFonts w:eastAsia="Times New Roman" w:cs="Arial"/>
          <w:color w:val="000000"/>
          <w:lang w:eastAsia="en-TT"/>
        </w:rPr>
        <w:t xml:space="preserve">Trinity is the largest independent E&amp;P </w:t>
      </w:r>
      <w:proofErr w:type="gramStart"/>
      <w:r w:rsidRPr="001F480A">
        <w:rPr>
          <w:rFonts w:eastAsia="Times New Roman" w:cs="Arial"/>
          <w:color w:val="000000"/>
          <w:lang w:eastAsia="en-TT"/>
        </w:rPr>
        <w:t>company</w:t>
      </w:r>
      <w:proofErr w:type="gramEnd"/>
      <w:r w:rsidRPr="001F480A">
        <w:rPr>
          <w:rFonts w:eastAsia="Times New Roman" w:cs="Arial"/>
          <w:color w:val="000000"/>
          <w:lang w:eastAsia="en-TT"/>
        </w:rPr>
        <w:t xml:space="preserve"> focused on Trinidad and Tobago. Trinity operates assets onshore and offshore on both the West and East coasts. Trinity's portfolio includes current production, significant near-term production growth opportunities from low risk developments and multiple exploration prospects.  The Company operates all of its licences and has 2P reserves of 25 </w:t>
      </w:r>
      <w:proofErr w:type="spellStart"/>
      <w:r w:rsidRPr="001F480A">
        <w:rPr>
          <w:rFonts w:eastAsia="Times New Roman" w:cs="Arial"/>
          <w:color w:val="000000"/>
          <w:lang w:eastAsia="en-TT"/>
        </w:rPr>
        <w:t>MMbbls</w:t>
      </w:r>
      <w:proofErr w:type="spellEnd"/>
      <w:r w:rsidRPr="001F480A">
        <w:rPr>
          <w:rFonts w:eastAsia="Times New Roman" w:cs="Arial"/>
          <w:color w:val="000000"/>
          <w:lang w:eastAsia="en-TT"/>
        </w:rPr>
        <w:t>. Trinity is listed on the AIM market of the London Stock Exchange under the ticker TRIN.LN.</w:t>
      </w:r>
      <w:bookmarkEnd w:id="0"/>
    </w:p>
    <w:sectPr w:rsidR="00C23381" w:rsidRPr="001F4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98F"/>
    <w:multiLevelType w:val="hybridMultilevel"/>
    <w:tmpl w:val="BDB4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628EC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43E"/>
    <w:multiLevelType w:val="hybridMultilevel"/>
    <w:tmpl w:val="6340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5DCF"/>
    <w:multiLevelType w:val="hybridMultilevel"/>
    <w:tmpl w:val="1A22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24"/>
    <w:rsid w:val="00106C12"/>
    <w:rsid w:val="00121AA5"/>
    <w:rsid w:val="00121B48"/>
    <w:rsid w:val="001A5340"/>
    <w:rsid w:val="001F480A"/>
    <w:rsid w:val="002066CE"/>
    <w:rsid w:val="00227873"/>
    <w:rsid w:val="00355886"/>
    <w:rsid w:val="00417149"/>
    <w:rsid w:val="00423D13"/>
    <w:rsid w:val="00431D24"/>
    <w:rsid w:val="00432091"/>
    <w:rsid w:val="004B7DEE"/>
    <w:rsid w:val="005F693F"/>
    <w:rsid w:val="00642CE4"/>
    <w:rsid w:val="006B5635"/>
    <w:rsid w:val="007207B3"/>
    <w:rsid w:val="00781691"/>
    <w:rsid w:val="007C6F98"/>
    <w:rsid w:val="00822004"/>
    <w:rsid w:val="008F03AC"/>
    <w:rsid w:val="00AC0C2E"/>
    <w:rsid w:val="00B0614C"/>
    <w:rsid w:val="00BF73B9"/>
    <w:rsid w:val="00C20268"/>
    <w:rsid w:val="00C23381"/>
    <w:rsid w:val="00D72AC2"/>
    <w:rsid w:val="00DA5F31"/>
    <w:rsid w:val="00DC1E0D"/>
    <w:rsid w:val="00E20C9A"/>
    <w:rsid w:val="00E5760B"/>
    <w:rsid w:val="00E915DD"/>
    <w:rsid w:val="00E939EB"/>
    <w:rsid w:val="00EA74B9"/>
    <w:rsid w:val="00EC1420"/>
    <w:rsid w:val="00EF6772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383BD3-1935-4B61-81FA-9101256D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v">
    <w:name w:val="bv"/>
    <w:basedOn w:val="DefaultParagraphFont"/>
    <w:rsid w:val="00EA74B9"/>
  </w:style>
  <w:style w:type="character" w:customStyle="1" w:styleId="bb">
    <w:name w:val="bb"/>
    <w:basedOn w:val="DefaultParagraphFont"/>
    <w:rsid w:val="00AC0C2E"/>
  </w:style>
  <w:style w:type="character" w:customStyle="1" w:styleId="ai">
    <w:name w:val="ai"/>
    <w:basedOn w:val="DefaultParagraphFont"/>
    <w:rsid w:val="00AC0C2E"/>
  </w:style>
  <w:style w:type="character" w:customStyle="1" w:styleId="bec">
    <w:name w:val="bec"/>
    <w:basedOn w:val="DefaultParagraphFont"/>
    <w:rsid w:val="00EF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41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79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Ann Mac Kenzie</dc:creator>
  <cp:keywords/>
  <dc:description/>
  <cp:lastModifiedBy>Lawrence Arjoon</cp:lastModifiedBy>
  <cp:revision>2</cp:revision>
  <dcterms:created xsi:type="dcterms:W3CDTF">2015-07-16T13:57:00Z</dcterms:created>
  <dcterms:modified xsi:type="dcterms:W3CDTF">2015-07-16T13:57:00Z</dcterms:modified>
</cp:coreProperties>
</file>